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E12DE" w14:textId="77777777" w:rsidR="002C2C19" w:rsidRDefault="00684A9C">
      <w:pPr>
        <w:spacing w:after="0" w:line="259" w:lineRule="auto"/>
        <w:ind w:left="0" w:firstLine="0"/>
        <w:jc w:val="left"/>
      </w:pPr>
      <w:r>
        <w:rPr>
          <w:rFonts w:ascii="Garamond" w:eastAsia="Garamond" w:hAnsi="Garamond" w:cs="Garamond"/>
          <w:sz w:val="20"/>
        </w:rPr>
        <w:t xml:space="preserve"> </w:t>
      </w:r>
    </w:p>
    <w:p w14:paraId="7856CD59" w14:textId="77777777" w:rsidR="002C2C19" w:rsidRDefault="00684A9C">
      <w:pPr>
        <w:spacing w:after="7" w:line="259" w:lineRule="auto"/>
        <w:ind w:left="-30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2F7AAE9" wp14:editId="326494B9">
                <wp:extent cx="5806440" cy="6096"/>
                <wp:effectExtent l="0" t="0" r="0" b="0"/>
                <wp:docPr id="1418" name="Group 1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6440" cy="6096"/>
                          <a:chOff x="0" y="0"/>
                          <a:chExt cx="5806440" cy="6096"/>
                        </a:xfrm>
                      </wpg:grpSpPr>
                      <wps:wsp>
                        <wps:cNvPr id="1841" name="Shape 1841"/>
                        <wps:cNvSpPr/>
                        <wps:spPr>
                          <a:xfrm>
                            <a:off x="0" y="0"/>
                            <a:ext cx="5806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0" h="9144">
                                <a:moveTo>
                                  <a:pt x="0" y="0"/>
                                </a:moveTo>
                                <a:lnTo>
                                  <a:pt x="5806440" y="0"/>
                                </a:lnTo>
                                <a:lnTo>
                                  <a:pt x="5806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8" style="width:457.2pt;height:0.47998pt;mso-position-horizontal-relative:char;mso-position-vertical-relative:line" coordsize="58064,60">
                <v:shape id="Shape 1842" style="position:absolute;width:58064;height:91;left:0;top:0;" coordsize="5806440,9144" path="m0,0l5806440,0l58064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510D588" w14:textId="77777777" w:rsidR="002C2C19" w:rsidRDefault="00684A9C">
      <w:pPr>
        <w:spacing w:after="15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1DC822B" w14:textId="77777777" w:rsidR="002C2C19" w:rsidRDefault="00684A9C">
      <w:pPr>
        <w:spacing w:after="0" w:line="231" w:lineRule="auto"/>
        <w:ind w:left="173" w:right="175" w:firstLine="0"/>
        <w:jc w:val="center"/>
      </w:pPr>
      <w:r>
        <w:rPr>
          <w:b/>
        </w:rPr>
        <w:t xml:space="preserve">ANNEX 1: FIRST CURACAO INTERNATIONAL BANK N.V. - SETTLEMENT PROCEDURE FOR CERTAIN CLIENTS, INCLUDING CLIENT </w:t>
      </w:r>
    </w:p>
    <w:p w14:paraId="637A9B90" w14:textId="77777777" w:rsidR="002C2C19" w:rsidRDefault="00684A9C">
      <w:pPr>
        <w:spacing w:after="0" w:line="259" w:lineRule="auto"/>
        <w:ind w:left="102" w:firstLine="0"/>
        <w:jc w:val="left"/>
      </w:pPr>
      <w:r>
        <w:rPr>
          <w:b/>
        </w:rPr>
        <w:t xml:space="preserve">CATEGORIES MENTIONED IN THE COURT RULING OF FEBRUARY 16, 2007 </w:t>
      </w:r>
    </w:p>
    <w:p w14:paraId="71AECB63" w14:textId="77777777" w:rsidR="002C2C19" w:rsidRDefault="00684A9C">
      <w:pPr>
        <w:spacing w:after="0" w:line="259" w:lineRule="auto"/>
        <w:ind w:left="58" w:firstLine="0"/>
        <w:jc w:val="center"/>
      </w:pPr>
      <w:r>
        <w:rPr>
          <w:b/>
        </w:rPr>
        <w:t xml:space="preserve"> </w:t>
      </w:r>
    </w:p>
    <w:p w14:paraId="59BD7A44" w14:textId="77777777" w:rsidR="002C2C19" w:rsidRDefault="00684A9C">
      <w:pPr>
        <w:spacing w:after="0"/>
      </w:pPr>
      <w:r>
        <w:t xml:space="preserve">The following categories of clients are mentioned in the court ruling in Curacao of February 16, 2007:  </w:t>
      </w:r>
    </w:p>
    <w:p w14:paraId="550872B8" w14:textId="77777777" w:rsidR="002C2C19" w:rsidRDefault="00684A9C">
      <w:pPr>
        <w:spacing w:after="49" w:line="259" w:lineRule="auto"/>
        <w:ind w:left="0" w:firstLine="0"/>
        <w:jc w:val="left"/>
      </w:pPr>
      <w:r>
        <w:t xml:space="preserve"> </w:t>
      </w:r>
    </w:p>
    <w:p w14:paraId="4025EBE3" w14:textId="77777777" w:rsidR="002C2C19" w:rsidRDefault="00684A9C">
      <w:pPr>
        <w:numPr>
          <w:ilvl w:val="0"/>
          <w:numId w:val="1"/>
        </w:numPr>
        <w:ind w:hanging="706"/>
      </w:pPr>
      <w:r>
        <w:t xml:space="preserve">Telecom and computer trading industry; </w:t>
      </w:r>
    </w:p>
    <w:p w14:paraId="09D744A7" w14:textId="77777777" w:rsidR="002C2C19" w:rsidRDefault="00684A9C">
      <w:pPr>
        <w:numPr>
          <w:ilvl w:val="0"/>
          <w:numId w:val="1"/>
        </w:numPr>
        <w:spacing w:after="63"/>
        <w:ind w:hanging="706"/>
      </w:pPr>
      <w:r>
        <w:t xml:space="preserve">Trust; </w:t>
      </w:r>
    </w:p>
    <w:p w14:paraId="22715E56" w14:textId="77777777" w:rsidR="002C2C19" w:rsidRDefault="00684A9C">
      <w:pPr>
        <w:numPr>
          <w:ilvl w:val="0"/>
          <w:numId w:val="1"/>
        </w:numPr>
        <w:spacing w:after="60"/>
        <w:ind w:hanging="706"/>
      </w:pPr>
      <w:r>
        <w:t xml:space="preserve">Money Service Bureaus (MSBs); </w:t>
      </w:r>
    </w:p>
    <w:p w14:paraId="723CCE66" w14:textId="77777777" w:rsidR="002C2C19" w:rsidRDefault="00684A9C">
      <w:pPr>
        <w:numPr>
          <w:ilvl w:val="0"/>
          <w:numId w:val="1"/>
        </w:numPr>
        <w:spacing w:after="54"/>
        <w:ind w:hanging="706"/>
      </w:pPr>
      <w:r>
        <w:t xml:space="preserve">Politically Exposed Persons (PEPs); and  </w:t>
      </w:r>
    </w:p>
    <w:p w14:paraId="21C711FF" w14:textId="77777777" w:rsidR="002C2C19" w:rsidRDefault="00684A9C">
      <w:pPr>
        <w:numPr>
          <w:ilvl w:val="0"/>
          <w:numId w:val="1"/>
        </w:numPr>
        <w:ind w:hanging="706"/>
      </w:pPr>
      <w:r>
        <w:t xml:space="preserve">Gaming </w:t>
      </w:r>
    </w:p>
    <w:p w14:paraId="6D0A2FB0" w14:textId="77777777" w:rsidR="002C2C19" w:rsidRDefault="00684A9C">
      <w:pPr>
        <w:spacing w:after="0" w:line="259" w:lineRule="auto"/>
        <w:ind w:left="0" w:firstLine="0"/>
        <w:jc w:val="left"/>
      </w:pPr>
      <w:r>
        <w:t xml:space="preserve"> </w:t>
      </w:r>
    </w:p>
    <w:p w14:paraId="3AD45ACA" w14:textId="77777777" w:rsidR="002C2C19" w:rsidRDefault="00684A9C">
      <w:r>
        <w:t xml:space="preserve">This settlement procedure will also apply for the following category of clients: </w:t>
      </w:r>
    </w:p>
    <w:p w14:paraId="7FABC7ED" w14:textId="77777777" w:rsidR="002C2C19" w:rsidRDefault="00684A9C">
      <w:pPr>
        <w:spacing w:after="49" w:line="259" w:lineRule="auto"/>
        <w:ind w:left="0" w:firstLine="0"/>
        <w:jc w:val="left"/>
      </w:pPr>
      <w:r>
        <w:t xml:space="preserve"> </w:t>
      </w:r>
    </w:p>
    <w:p w14:paraId="7C21D969" w14:textId="77777777" w:rsidR="002C2C19" w:rsidRDefault="00684A9C">
      <w:pPr>
        <w:numPr>
          <w:ilvl w:val="0"/>
          <w:numId w:val="1"/>
        </w:numPr>
        <w:spacing w:after="64"/>
        <w:ind w:hanging="706"/>
      </w:pPr>
      <w:r>
        <w:t xml:space="preserve">All other clients who performed transactions for third parties such as Financial Service Providers (FSPs); </w:t>
      </w:r>
    </w:p>
    <w:p w14:paraId="399E9D56" w14:textId="77777777" w:rsidR="002C2C19" w:rsidRDefault="00684A9C">
      <w:pPr>
        <w:numPr>
          <w:ilvl w:val="0"/>
          <w:numId w:val="1"/>
        </w:numPr>
        <w:spacing w:after="62"/>
        <w:ind w:hanging="706"/>
      </w:pPr>
      <w:r>
        <w:t xml:space="preserve">In some </w:t>
      </w:r>
      <w:proofErr w:type="gramStart"/>
      <w:r>
        <w:t>cases</w:t>
      </w:r>
      <w:proofErr w:type="gramEnd"/>
      <w:r>
        <w:t xml:space="preserve"> conventional clients; </w:t>
      </w:r>
    </w:p>
    <w:p w14:paraId="1506C064" w14:textId="77777777" w:rsidR="002C2C19" w:rsidRDefault="00684A9C">
      <w:pPr>
        <w:numPr>
          <w:ilvl w:val="0"/>
          <w:numId w:val="1"/>
        </w:numPr>
        <w:ind w:hanging="706"/>
      </w:pPr>
      <w:r>
        <w:t xml:space="preserve">All clients of whom requests for information were received from </w:t>
      </w:r>
    </w:p>
    <w:p w14:paraId="3F0F6F21" w14:textId="77777777" w:rsidR="002C2C19" w:rsidRDefault="00684A9C">
      <w:pPr>
        <w:spacing w:after="61"/>
        <w:ind w:left="1076"/>
      </w:pPr>
      <w:r>
        <w:t xml:space="preserve">appropriate authorities;  </w:t>
      </w:r>
    </w:p>
    <w:p w14:paraId="4E2724AC" w14:textId="77777777" w:rsidR="002C2C19" w:rsidRDefault="00684A9C">
      <w:pPr>
        <w:numPr>
          <w:ilvl w:val="0"/>
          <w:numId w:val="1"/>
        </w:numPr>
        <w:ind w:hanging="706"/>
      </w:pPr>
      <w:r>
        <w:t xml:space="preserve">All account holders </w:t>
      </w:r>
      <w:proofErr w:type="gramStart"/>
      <w:r>
        <w:t>appearing</w:t>
      </w:r>
      <w:proofErr w:type="gramEnd"/>
      <w:r>
        <w:t xml:space="preserve"> in the criminal investigation file(s).  </w:t>
      </w:r>
    </w:p>
    <w:p w14:paraId="4EB6B299" w14:textId="77777777" w:rsidR="002C2C19" w:rsidRDefault="00684A9C">
      <w:pPr>
        <w:spacing w:after="0" w:line="259" w:lineRule="auto"/>
        <w:ind w:left="0" w:firstLine="0"/>
        <w:jc w:val="left"/>
      </w:pPr>
      <w:r>
        <w:t xml:space="preserve"> </w:t>
      </w:r>
    </w:p>
    <w:p w14:paraId="51EE88CC" w14:textId="77777777" w:rsidR="002C2C19" w:rsidRDefault="00684A9C">
      <w:r>
        <w:t xml:space="preserve">FCIB will perform the following settlement procedure: </w:t>
      </w:r>
    </w:p>
    <w:p w14:paraId="4702E58E" w14:textId="77777777" w:rsidR="002C2C19" w:rsidRDefault="00684A9C">
      <w:pPr>
        <w:spacing w:after="16" w:line="259" w:lineRule="auto"/>
        <w:ind w:left="0" w:firstLine="0"/>
        <w:jc w:val="left"/>
      </w:pPr>
      <w:r>
        <w:t xml:space="preserve"> </w:t>
      </w:r>
    </w:p>
    <w:p w14:paraId="552D648E" w14:textId="77777777" w:rsidR="002C2C19" w:rsidRDefault="00684A9C">
      <w:pPr>
        <w:numPr>
          <w:ilvl w:val="0"/>
          <w:numId w:val="2"/>
        </w:numPr>
        <w:ind w:hanging="706"/>
      </w:pPr>
      <w:r>
        <w:t xml:space="preserve">Inform clients via this website of FCIB regarding the procedure for closing accounts and making payments of account balances and the contents of the Auditor’s Report to be provided. </w:t>
      </w:r>
    </w:p>
    <w:p w14:paraId="497791F9" w14:textId="77777777" w:rsidR="002C2C19" w:rsidRDefault="00684A9C">
      <w:pPr>
        <w:numPr>
          <w:ilvl w:val="0"/>
          <w:numId w:val="2"/>
        </w:numPr>
        <w:ind w:hanging="706"/>
      </w:pPr>
      <w:r>
        <w:t xml:space="preserve">Classify the individual clients into </w:t>
      </w:r>
      <w:proofErr w:type="gramStart"/>
      <w:r>
        <w:t>the certain</w:t>
      </w:r>
      <w:proofErr w:type="gramEnd"/>
      <w:r>
        <w:t xml:space="preserve"> categories, including client categories mentioned in the court ruling in Curacao of February 16, 2007. </w:t>
      </w:r>
    </w:p>
    <w:p w14:paraId="0B27D700" w14:textId="77777777" w:rsidR="002C2C19" w:rsidRDefault="00684A9C">
      <w:pPr>
        <w:numPr>
          <w:ilvl w:val="0"/>
          <w:numId w:val="2"/>
        </w:numPr>
        <w:ind w:hanging="706"/>
      </w:pPr>
      <w:r>
        <w:t>A help desk (</w:t>
      </w:r>
      <w:r>
        <w:rPr>
          <w:color w:val="0000FF"/>
          <w:u w:val="single" w:color="0000FF"/>
        </w:rPr>
        <w:t>compliance@firstcuracao.com</w:t>
      </w:r>
      <w:r>
        <w:t xml:space="preserve">) will be made available for the benefit of clients and auditors. </w:t>
      </w:r>
    </w:p>
    <w:p w14:paraId="126FD0CD" w14:textId="77777777" w:rsidR="002C2C19" w:rsidRDefault="00684A9C">
      <w:pPr>
        <w:numPr>
          <w:ilvl w:val="0"/>
          <w:numId w:val="2"/>
        </w:numPr>
        <w:ind w:hanging="706"/>
      </w:pPr>
      <w:r>
        <w:t xml:space="preserve">Transactions of the clients will be analyzed to identify possible unusual transactions.  </w:t>
      </w:r>
    </w:p>
    <w:p w14:paraId="66AA0BFB" w14:textId="77777777" w:rsidR="002C2C19" w:rsidRDefault="00684A9C">
      <w:pPr>
        <w:numPr>
          <w:ilvl w:val="0"/>
          <w:numId w:val="2"/>
        </w:numPr>
        <w:ind w:hanging="706"/>
      </w:pPr>
      <w:r>
        <w:t xml:space="preserve">Receive the completed Auditor’s Report along with any other that may be specifically required information to satisfy FCIB’s KYC/EDD requirements. </w:t>
      </w:r>
    </w:p>
    <w:p w14:paraId="249A8F47" w14:textId="77777777" w:rsidR="002C2C19" w:rsidRDefault="00684A9C">
      <w:pPr>
        <w:numPr>
          <w:ilvl w:val="0"/>
          <w:numId w:val="2"/>
        </w:numPr>
        <w:ind w:hanging="706"/>
      </w:pPr>
      <w:r>
        <w:t xml:space="preserve">Send reminders to clients who have not fulfilled the documentation requirements including the Auditor’s Report. </w:t>
      </w:r>
    </w:p>
    <w:p w14:paraId="58774A44" w14:textId="77777777" w:rsidR="002C2C19" w:rsidRDefault="00684A9C">
      <w:pPr>
        <w:numPr>
          <w:ilvl w:val="0"/>
          <w:numId w:val="2"/>
        </w:numPr>
        <w:ind w:hanging="706"/>
      </w:pPr>
      <w:r>
        <w:t xml:space="preserve">Request at random investigation files from auditors for review. </w:t>
      </w:r>
    </w:p>
    <w:p w14:paraId="73690ABC" w14:textId="77777777" w:rsidR="002C2C19" w:rsidRDefault="00684A9C">
      <w:pPr>
        <w:numPr>
          <w:ilvl w:val="0"/>
          <w:numId w:val="2"/>
        </w:numPr>
        <w:ind w:hanging="706"/>
      </w:pPr>
      <w:r>
        <w:t xml:space="preserve">Perform on-site verifications at random. </w:t>
      </w:r>
    </w:p>
    <w:p w14:paraId="1FCDCE0D" w14:textId="77777777" w:rsidR="002C2C19" w:rsidRDefault="00684A9C">
      <w:pPr>
        <w:numPr>
          <w:ilvl w:val="0"/>
          <w:numId w:val="2"/>
        </w:numPr>
        <w:ind w:hanging="706"/>
      </w:pPr>
      <w:r>
        <w:t xml:space="preserve">Analyze the Auditors’ Reports. Attention will be paid especially to deviations from the standard Auditor’s Report and any possible supplementary remarks. The Auditor may be contacted </w:t>
      </w:r>
      <w:proofErr w:type="gramStart"/>
      <w:r>
        <w:t>in order to</w:t>
      </w:r>
      <w:proofErr w:type="gramEnd"/>
      <w:r>
        <w:t xml:space="preserve"> obtain an explanation before a definite qualification is given. </w:t>
      </w:r>
    </w:p>
    <w:p w14:paraId="35669706" w14:textId="77777777" w:rsidR="002C2C19" w:rsidRDefault="00684A9C">
      <w:pPr>
        <w:numPr>
          <w:ilvl w:val="0"/>
          <w:numId w:val="2"/>
        </w:numPr>
        <w:spacing w:after="326"/>
        <w:ind w:hanging="706"/>
      </w:pPr>
      <w:r>
        <w:lastRenderedPageBreak/>
        <w:t xml:space="preserve">The Auditor’s Report will be matched with the outcome of the internal KYC/EDD investigation. </w:t>
      </w:r>
    </w:p>
    <w:p w14:paraId="3BBC93E7" w14:textId="77777777" w:rsidR="002C2C19" w:rsidRDefault="00684A9C">
      <w:pPr>
        <w:spacing w:after="27" w:line="259" w:lineRule="auto"/>
        <w:ind w:left="-30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AA3C25" wp14:editId="38D24776">
                <wp:extent cx="5806440" cy="6096"/>
                <wp:effectExtent l="0" t="0" r="0" b="0"/>
                <wp:docPr id="1419" name="Group 14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6440" cy="6096"/>
                          <a:chOff x="0" y="0"/>
                          <a:chExt cx="5806440" cy="6096"/>
                        </a:xfrm>
                      </wpg:grpSpPr>
                      <wps:wsp>
                        <wps:cNvPr id="1843" name="Shape 1843"/>
                        <wps:cNvSpPr/>
                        <wps:spPr>
                          <a:xfrm>
                            <a:off x="0" y="0"/>
                            <a:ext cx="5806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0" h="9144">
                                <a:moveTo>
                                  <a:pt x="0" y="0"/>
                                </a:moveTo>
                                <a:lnTo>
                                  <a:pt x="5806440" y="0"/>
                                </a:lnTo>
                                <a:lnTo>
                                  <a:pt x="5806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9" style="width:457.2pt;height:0.47998pt;mso-position-horizontal-relative:char;mso-position-vertical-relative:line" coordsize="58064,60">
                <v:shape id="Shape 1844" style="position:absolute;width:58064;height:91;left:0;top:0;" coordsize="5806440,9144" path="m0,0l5806440,0l58064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C82CCC6" w14:textId="77777777" w:rsidR="002C2C19" w:rsidRDefault="00684A9C">
      <w:pPr>
        <w:spacing w:after="168" w:line="259" w:lineRule="auto"/>
        <w:ind w:right="2"/>
        <w:jc w:val="center"/>
      </w:pPr>
      <w:r>
        <w:rPr>
          <w:rFonts w:ascii="Times New Roman" w:eastAsia="Times New Roman" w:hAnsi="Times New Roman" w:cs="Times New Roman"/>
        </w:rPr>
        <w:t xml:space="preserve">1 </w:t>
      </w:r>
    </w:p>
    <w:p w14:paraId="50F6A930" w14:textId="77777777" w:rsidR="002C2C19" w:rsidRDefault="00684A9C">
      <w:pPr>
        <w:spacing w:after="0" w:line="259" w:lineRule="auto"/>
        <w:ind w:left="74" w:firstLine="0"/>
        <w:jc w:val="left"/>
      </w:pPr>
      <w:r>
        <w:rPr>
          <w:sz w:val="20"/>
        </w:rPr>
        <w:t xml:space="preserve">Annex 1: First Curacao International Bank N.V. - Settlement Procedure </w:t>
      </w:r>
      <w:proofErr w:type="gramStart"/>
      <w:r>
        <w:rPr>
          <w:sz w:val="20"/>
        </w:rPr>
        <w:t>For</w:t>
      </w:r>
      <w:proofErr w:type="gramEnd"/>
      <w:r>
        <w:rPr>
          <w:sz w:val="20"/>
        </w:rPr>
        <w:t xml:space="preserve"> Certain Clients, Including </w:t>
      </w:r>
    </w:p>
    <w:p w14:paraId="21C56770" w14:textId="77777777" w:rsidR="002C2C19" w:rsidRDefault="00684A9C">
      <w:pPr>
        <w:spacing w:after="0" w:line="259" w:lineRule="auto"/>
        <w:ind w:left="0" w:right="2" w:firstLine="0"/>
        <w:jc w:val="center"/>
      </w:pPr>
      <w:r>
        <w:rPr>
          <w:sz w:val="20"/>
        </w:rPr>
        <w:t xml:space="preserve">Client Categories Mentioned </w:t>
      </w:r>
      <w:proofErr w:type="gramStart"/>
      <w:r>
        <w:rPr>
          <w:sz w:val="20"/>
        </w:rPr>
        <w:t>In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The</w:t>
      </w:r>
      <w:proofErr w:type="gramEnd"/>
      <w:r>
        <w:rPr>
          <w:sz w:val="20"/>
        </w:rPr>
        <w:t xml:space="preserve"> Court Ruling </w:t>
      </w:r>
      <w:proofErr w:type="gramStart"/>
      <w:r>
        <w:rPr>
          <w:sz w:val="20"/>
        </w:rPr>
        <w:t>Of</w:t>
      </w:r>
      <w:proofErr w:type="gramEnd"/>
      <w:r>
        <w:rPr>
          <w:sz w:val="20"/>
        </w:rPr>
        <w:t xml:space="preserve"> February 16, 2007 </w:t>
      </w:r>
    </w:p>
    <w:p w14:paraId="2D1DF4BA" w14:textId="77777777" w:rsidR="002C2C19" w:rsidRDefault="00684A9C">
      <w:pPr>
        <w:spacing w:after="49" w:line="259" w:lineRule="auto"/>
        <w:ind w:left="-30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60C428B" wp14:editId="4F61D60A">
                <wp:extent cx="5806440" cy="6096"/>
                <wp:effectExtent l="0" t="0" r="0" b="0"/>
                <wp:docPr id="1346" name="Group 1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6440" cy="6096"/>
                          <a:chOff x="0" y="0"/>
                          <a:chExt cx="5806440" cy="6096"/>
                        </a:xfrm>
                      </wpg:grpSpPr>
                      <wps:wsp>
                        <wps:cNvPr id="1845" name="Shape 1845"/>
                        <wps:cNvSpPr/>
                        <wps:spPr>
                          <a:xfrm>
                            <a:off x="0" y="0"/>
                            <a:ext cx="5806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0" h="9144">
                                <a:moveTo>
                                  <a:pt x="0" y="0"/>
                                </a:moveTo>
                                <a:lnTo>
                                  <a:pt x="5806440" y="0"/>
                                </a:lnTo>
                                <a:lnTo>
                                  <a:pt x="5806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46" style="width:457.2pt;height:0.47998pt;mso-position-horizontal-relative:char;mso-position-vertical-relative:line" coordsize="58064,60">
                <v:shape id="Shape 1846" style="position:absolute;width:58064;height:91;left:0;top:0;" coordsize="5806440,9144" path="m0,0l5806440,0l58064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1425085" w14:textId="77777777" w:rsidR="002C2C19" w:rsidRDefault="00684A9C">
      <w:pPr>
        <w:spacing w:after="0" w:line="259" w:lineRule="auto"/>
        <w:ind w:left="0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14:paraId="1817ED10" w14:textId="77777777" w:rsidR="002C2C19" w:rsidRDefault="00684A9C">
      <w:pPr>
        <w:spacing w:after="28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8EE4445" w14:textId="77777777" w:rsidR="002C2C19" w:rsidRDefault="00684A9C">
      <w:pPr>
        <w:numPr>
          <w:ilvl w:val="0"/>
          <w:numId w:val="2"/>
        </w:numPr>
        <w:ind w:hanging="706"/>
      </w:pPr>
      <w:r>
        <w:t xml:space="preserve">The results of the above exercise would be documented separately. </w:t>
      </w:r>
    </w:p>
    <w:p w14:paraId="17BDF385" w14:textId="77777777" w:rsidR="002C2C19" w:rsidRDefault="00684A9C">
      <w:pPr>
        <w:numPr>
          <w:ilvl w:val="0"/>
          <w:numId w:val="2"/>
        </w:numPr>
        <w:ind w:hanging="706"/>
      </w:pPr>
      <w:r>
        <w:t xml:space="preserve">Legal review of client files will be performed by attorney(s) at law as deemed necessary. </w:t>
      </w:r>
    </w:p>
    <w:p w14:paraId="6D33F0BB" w14:textId="77777777" w:rsidR="002C2C19" w:rsidRDefault="00684A9C">
      <w:pPr>
        <w:numPr>
          <w:ilvl w:val="0"/>
          <w:numId w:val="2"/>
        </w:numPr>
        <w:ind w:hanging="706"/>
      </w:pPr>
      <w:r>
        <w:t xml:space="preserve">The results will be communicated to the Central Bank of Netherlands Antilles (BNA) for approval.  </w:t>
      </w:r>
    </w:p>
    <w:p w14:paraId="7CA737B5" w14:textId="77777777" w:rsidR="002C2C19" w:rsidRDefault="00684A9C">
      <w:pPr>
        <w:numPr>
          <w:ilvl w:val="0"/>
          <w:numId w:val="2"/>
        </w:numPr>
        <w:ind w:hanging="706"/>
      </w:pPr>
      <w:r>
        <w:t xml:space="preserve">After BNA’s approval is received, it is intended that 75% of the account balance(s) will be paid within 15 working days.  </w:t>
      </w:r>
    </w:p>
    <w:p w14:paraId="36110BAC" w14:textId="77777777" w:rsidR="002C2C19" w:rsidRDefault="00684A9C">
      <w:pPr>
        <w:numPr>
          <w:ilvl w:val="0"/>
          <w:numId w:val="2"/>
        </w:numPr>
        <w:spacing w:after="11054"/>
        <w:ind w:hanging="706"/>
      </w:pPr>
      <w:r>
        <w:t xml:space="preserve">Communicate information on the settlement of the remaining balances </w:t>
      </w:r>
      <w:proofErr w:type="gramStart"/>
      <w:r>
        <w:t>at a later date</w:t>
      </w:r>
      <w:proofErr w:type="gramEnd"/>
      <w:r>
        <w:t xml:space="preserve">. </w:t>
      </w:r>
    </w:p>
    <w:p w14:paraId="46F99522" w14:textId="77777777" w:rsidR="002C2C19" w:rsidRDefault="00684A9C">
      <w:pPr>
        <w:spacing w:after="27" w:line="259" w:lineRule="auto"/>
        <w:ind w:left="-30" w:right="-2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775D2E19" wp14:editId="4CBE6792">
                <wp:extent cx="5806440" cy="6096"/>
                <wp:effectExtent l="0" t="0" r="0" b="0"/>
                <wp:docPr id="1347" name="Group 1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6440" cy="6096"/>
                          <a:chOff x="0" y="0"/>
                          <a:chExt cx="5806440" cy="6096"/>
                        </a:xfrm>
                      </wpg:grpSpPr>
                      <wps:wsp>
                        <wps:cNvPr id="1847" name="Shape 1847"/>
                        <wps:cNvSpPr/>
                        <wps:spPr>
                          <a:xfrm>
                            <a:off x="0" y="0"/>
                            <a:ext cx="5806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0" h="9144">
                                <a:moveTo>
                                  <a:pt x="0" y="0"/>
                                </a:moveTo>
                                <a:lnTo>
                                  <a:pt x="5806440" y="0"/>
                                </a:lnTo>
                                <a:lnTo>
                                  <a:pt x="5806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47" style="width:457.2pt;height:0.47998pt;mso-position-horizontal-relative:char;mso-position-vertical-relative:line" coordsize="58064,60">
                <v:shape id="Shape 1848" style="position:absolute;width:58064;height:91;left:0;top:0;" coordsize="5806440,9144" path="m0,0l5806440,0l58064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FDB1669" w14:textId="77777777" w:rsidR="002C2C19" w:rsidRDefault="00684A9C">
      <w:pPr>
        <w:spacing w:after="168" w:line="259" w:lineRule="auto"/>
        <w:ind w:right="2"/>
        <w:jc w:val="center"/>
      </w:pPr>
      <w:r>
        <w:rPr>
          <w:rFonts w:ascii="Times New Roman" w:eastAsia="Times New Roman" w:hAnsi="Times New Roman" w:cs="Times New Roman"/>
        </w:rPr>
        <w:t xml:space="preserve">2 </w:t>
      </w:r>
    </w:p>
    <w:sectPr w:rsidR="002C2C19">
      <w:pgSz w:w="11904" w:h="16840"/>
      <w:pgMar w:top="747" w:right="1408" w:bottom="712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B0FFF"/>
    <w:multiLevelType w:val="hybridMultilevel"/>
    <w:tmpl w:val="B7ACD334"/>
    <w:lvl w:ilvl="0" w:tplc="EF3A07E8">
      <w:start w:val="1"/>
      <w:numFmt w:val="bullet"/>
      <w:lvlText w:val="-"/>
      <w:lvlJc w:val="left"/>
      <w:pPr>
        <w:ind w:left="10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780122">
      <w:start w:val="1"/>
      <w:numFmt w:val="bullet"/>
      <w:lvlText w:val="o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E0BC0">
      <w:start w:val="1"/>
      <w:numFmt w:val="bullet"/>
      <w:lvlText w:val="▪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2B4AC">
      <w:start w:val="1"/>
      <w:numFmt w:val="bullet"/>
      <w:lvlText w:val="•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84BF16">
      <w:start w:val="1"/>
      <w:numFmt w:val="bullet"/>
      <w:lvlText w:val="o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A5DD0">
      <w:start w:val="1"/>
      <w:numFmt w:val="bullet"/>
      <w:lvlText w:val="▪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C41C42">
      <w:start w:val="1"/>
      <w:numFmt w:val="bullet"/>
      <w:lvlText w:val="•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E6DA24">
      <w:start w:val="1"/>
      <w:numFmt w:val="bullet"/>
      <w:lvlText w:val="o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40A06A">
      <w:start w:val="1"/>
      <w:numFmt w:val="bullet"/>
      <w:lvlText w:val="▪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BA36E9"/>
    <w:multiLevelType w:val="hybridMultilevel"/>
    <w:tmpl w:val="84AE75EA"/>
    <w:lvl w:ilvl="0" w:tplc="33FEF1CC">
      <w:start w:val="1"/>
      <w:numFmt w:val="decimal"/>
      <w:lvlText w:val="%1)"/>
      <w:lvlJc w:val="left"/>
      <w:pPr>
        <w:ind w:left="105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4EBC4A">
      <w:start w:val="1"/>
      <w:numFmt w:val="lowerLetter"/>
      <w:lvlText w:val="%2"/>
      <w:lvlJc w:val="left"/>
      <w:pPr>
        <w:ind w:left="14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346182">
      <w:start w:val="1"/>
      <w:numFmt w:val="lowerRoman"/>
      <w:lvlText w:val="%3"/>
      <w:lvlJc w:val="left"/>
      <w:pPr>
        <w:ind w:left="21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4E747C">
      <w:start w:val="1"/>
      <w:numFmt w:val="decimal"/>
      <w:lvlText w:val="%4"/>
      <w:lvlJc w:val="left"/>
      <w:pPr>
        <w:ind w:left="28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DCBF40">
      <w:start w:val="1"/>
      <w:numFmt w:val="lowerLetter"/>
      <w:lvlText w:val="%5"/>
      <w:lvlJc w:val="left"/>
      <w:pPr>
        <w:ind w:left="36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780466">
      <w:start w:val="1"/>
      <w:numFmt w:val="lowerRoman"/>
      <w:lvlText w:val="%6"/>
      <w:lvlJc w:val="left"/>
      <w:pPr>
        <w:ind w:left="43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CABDE">
      <w:start w:val="1"/>
      <w:numFmt w:val="decimal"/>
      <w:lvlText w:val="%7"/>
      <w:lvlJc w:val="left"/>
      <w:pPr>
        <w:ind w:left="50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367780">
      <w:start w:val="1"/>
      <w:numFmt w:val="lowerLetter"/>
      <w:lvlText w:val="%8"/>
      <w:lvlJc w:val="left"/>
      <w:pPr>
        <w:ind w:left="57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30222E">
      <w:start w:val="1"/>
      <w:numFmt w:val="lowerRoman"/>
      <w:lvlText w:val="%9"/>
      <w:lvlJc w:val="left"/>
      <w:pPr>
        <w:ind w:left="64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5038294">
    <w:abstractNumId w:val="0"/>
  </w:num>
  <w:num w:numId="2" w16cid:durableId="498425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C19"/>
    <w:rsid w:val="002C2C19"/>
    <w:rsid w:val="00684A9C"/>
    <w:rsid w:val="00986D39"/>
    <w:rsid w:val="00E0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F701D"/>
  <w15:docId w15:val="{40582B55-D452-475B-87BB-EF91CE36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9" w:line="248" w:lineRule="auto"/>
      <w:ind w:left="10" w:hanging="10"/>
      <w:jc w:val="both"/>
    </w:pPr>
    <w:rPr>
      <w:rFonts w:ascii="Book Antiqua" w:eastAsia="Book Antiqua" w:hAnsi="Book Antiqua" w:cs="Book Antiqu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AFWIKKELING REKENINGEN/TEGOEDEN VAN AFFECTED CLIENTS FIRST CURACAO INTERNATIONAL BANK</dc:title>
  <dc:subject/>
  <dc:creator>Brands, Cyrus</dc:creator>
  <cp:keywords/>
  <cp:lastModifiedBy>Brands, Cyrus</cp:lastModifiedBy>
  <cp:revision>2</cp:revision>
  <dcterms:created xsi:type="dcterms:W3CDTF">2026-09-15T15:09:00Z</dcterms:created>
  <dcterms:modified xsi:type="dcterms:W3CDTF">2026-09-15T15:09:00Z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8e150b0a-2018-452c-bfd7-9f43bfbf28a3</vt:lpwstr>
  </property>
  <property fmtid="{D5CDD505-2E9C-101B-9397-08002B2CF9AE}" pid="3" name="MSIP_Label_b3f8ab88-ffb5-4dd6-8953-e21be488f5ab_Enabled">
    <vt:lpwstr>true</vt:lpwstr>
  </property>
  <property fmtid="{D5CDD505-2E9C-101B-9397-08002B2CF9AE}" pid="4" name="MSIP_Label_b3f8ab88-ffb5-4dd6-8953-e21be488f5ab_SetDate">
    <vt:lpwstr>2026-09-15T15:08:59Z</vt:lpwstr>
  </property>
  <property fmtid="{D5CDD505-2E9C-101B-9397-08002B2CF9AE}" pid="5" name="MSIP_Label_b3f8ab88-ffb5-4dd6-8953-e21be488f5ab_Method">
    <vt:lpwstr>Standard</vt:lpwstr>
  </property>
  <property fmtid="{D5CDD505-2E9C-101B-9397-08002B2CF9AE}" pid="6" name="MSIP_Label_b3f8ab88-ffb5-4dd6-8953-e21be488f5ab_Name">
    <vt:lpwstr>Internal - CBCS</vt:lpwstr>
  </property>
  <property fmtid="{D5CDD505-2E9C-101B-9397-08002B2CF9AE}" pid="7" name="MSIP_Label_b3f8ab88-ffb5-4dd6-8953-e21be488f5ab_SiteId">
    <vt:lpwstr>15521a29-ae87-45c6-bca9-fcbf3b9f3fc6</vt:lpwstr>
  </property>
  <property fmtid="{D5CDD505-2E9C-101B-9397-08002B2CF9AE}" pid="8" name="MSIP_Label_b3f8ab88-ffb5-4dd6-8953-e21be488f5ab_ActionId">
    <vt:lpwstr>f337979e-4431-408a-92ca-d9e03829c811</vt:lpwstr>
  </property>
  <property fmtid="{D5CDD505-2E9C-101B-9397-08002B2CF9AE}" pid="9" name="MSIP_Label_b3f8ab88-ffb5-4dd6-8953-e21be488f5ab_ContentBits">
    <vt:lpwstr>0</vt:lpwstr>
  </property>
  <property fmtid="{D5CDD505-2E9C-101B-9397-08002B2CF9AE}" pid="10" name="MSIP_Label_b3f8ab88-ffb5-4dd6-8953-e21be488f5ab_Tag">
    <vt:lpwstr>10, 3, 0, 1</vt:lpwstr>
  </property>
</Properties>
</file>